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CD5D0" w14:textId="77777777" w:rsidR="00763044" w:rsidRPr="00172C61" w:rsidRDefault="005D085D" w:rsidP="005D085D">
      <w:pPr>
        <w:spacing w:line="276" w:lineRule="auto"/>
        <w:jc w:val="center"/>
        <w:rPr>
          <w:b/>
          <w:sz w:val="28"/>
        </w:rPr>
      </w:pPr>
      <w:bookmarkStart w:id="0" w:name="_GoBack"/>
      <w:bookmarkEnd w:id="0"/>
      <w:r w:rsidRPr="00172C61">
        <w:rPr>
          <w:b/>
          <w:sz w:val="28"/>
        </w:rPr>
        <w:t>„Der Geist hilft unser Schwachheit auf...“</w:t>
      </w:r>
    </w:p>
    <w:p w14:paraId="5113831F" w14:textId="77777777" w:rsidR="00172C61" w:rsidRDefault="005D085D" w:rsidP="005D085D">
      <w:pPr>
        <w:spacing w:line="276" w:lineRule="auto"/>
        <w:jc w:val="center"/>
        <w:rPr>
          <w:b/>
          <w:sz w:val="28"/>
        </w:rPr>
      </w:pPr>
      <w:r w:rsidRPr="00172C61">
        <w:rPr>
          <w:b/>
          <w:sz w:val="28"/>
        </w:rPr>
        <w:t>Predigt mit BWV 226</w:t>
      </w:r>
      <w:r w:rsidR="000752C1" w:rsidRPr="00172C61">
        <w:rPr>
          <w:b/>
          <w:sz w:val="28"/>
        </w:rPr>
        <w:t xml:space="preserve"> zum Abschluss der 7. Heidelberger Summer School „Musik und Religion“</w:t>
      </w:r>
      <w:r w:rsidR="00172C61">
        <w:rPr>
          <w:b/>
          <w:sz w:val="28"/>
        </w:rPr>
        <w:t xml:space="preserve"> am 15. Juli 2018</w:t>
      </w:r>
    </w:p>
    <w:p w14:paraId="326377B6" w14:textId="749A2D67" w:rsidR="005D085D" w:rsidRPr="00172C61" w:rsidRDefault="005D085D" w:rsidP="005D085D">
      <w:pPr>
        <w:spacing w:line="276" w:lineRule="auto"/>
        <w:jc w:val="center"/>
        <w:rPr>
          <w:b/>
          <w:sz w:val="28"/>
        </w:rPr>
      </w:pPr>
      <w:r w:rsidRPr="00172C61">
        <w:rPr>
          <w:b/>
          <w:sz w:val="28"/>
        </w:rPr>
        <w:t>in der Peterskirche Heidelberg</w:t>
      </w:r>
    </w:p>
    <w:p w14:paraId="2CF45138" w14:textId="70CFA835" w:rsidR="005D085D" w:rsidRDefault="005D085D" w:rsidP="005D085D">
      <w:pPr>
        <w:spacing w:line="276" w:lineRule="auto"/>
      </w:pPr>
    </w:p>
    <w:p w14:paraId="59CCACE5" w14:textId="77777777" w:rsidR="00172C61" w:rsidRDefault="00172C61" w:rsidP="005D085D">
      <w:pPr>
        <w:spacing w:line="276" w:lineRule="auto"/>
      </w:pPr>
    </w:p>
    <w:p w14:paraId="6974DB2F" w14:textId="3553613E" w:rsidR="008811E8" w:rsidRPr="008811E8" w:rsidRDefault="008811E8" w:rsidP="005D085D">
      <w:pPr>
        <w:spacing w:line="276" w:lineRule="auto"/>
        <w:rPr>
          <w:i/>
        </w:rPr>
      </w:pPr>
      <w:r w:rsidRPr="008811E8">
        <w:rPr>
          <w:i/>
        </w:rPr>
        <w:t>Universitätsprediger Prof. Dr. Helmut Schwier</w:t>
      </w:r>
      <w:r w:rsidR="002759C2">
        <w:rPr>
          <w:i/>
        </w:rPr>
        <w:t>, Anglistenchor Heidelberg (Leitung: jan Wilke)</w:t>
      </w:r>
    </w:p>
    <w:p w14:paraId="6AA4FC29" w14:textId="77777777" w:rsidR="008811E8" w:rsidRDefault="008811E8" w:rsidP="005D085D">
      <w:pPr>
        <w:spacing w:line="276" w:lineRule="auto"/>
      </w:pPr>
    </w:p>
    <w:p w14:paraId="5AC65D3D" w14:textId="77777777" w:rsidR="002759C2" w:rsidRDefault="002759C2" w:rsidP="005D085D">
      <w:pPr>
        <w:spacing w:line="276" w:lineRule="auto"/>
      </w:pPr>
    </w:p>
    <w:p w14:paraId="06F3E593" w14:textId="77777777" w:rsidR="002759C2" w:rsidRDefault="002759C2" w:rsidP="005D085D">
      <w:pPr>
        <w:spacing w:line="276" w:lineRule="auto"/>
      </w:pPr>
    </w:p>
    <w:p w14:paraId="33DC8B7D" w14:textId="77777777" w:rsidR="005D085D" w:rsidRDefault="005D085D" w:rsidP="005D085D">
      <w:pPr>
        <w:spacing w:line="276" w:lineRule="auto"/>
      </w:pPr>
    </w:p>
    <w:p w14:paraId="2EE01274" w14:textId="6D2A47DC" w:rsidR="005D085D" w:rsidRPr="00AB26C2" w:rsidRDefault="00AB26C2" w:rsidP="005D085D">
      <w:pPr>
        <w:spacing w:line="276" w:lineRule="auto"/>
        <w:rPr>
          <w:i/>
        </w:rPr>
      </w:pPr>
      <w:r>
        <w:rPr>
          <w:i/>
        </w:rPr>
        <w:t xml:space="preserve">Chor: </w:t>
      </w:r>
      <w:r w:rsidR="00E72DF3" w:rsidRPr="00AB26C2">
        <w:rPr>
          <w:i/>
        </w:rPr>
        <w:t>„Der Geis</w:t>
      </w:r>
      <w:r w:rsidRPr="00AB26C2">
        <w:rPr>
          <w:i/>
        </w:rPr>
        <w:t xml:space="preserve">t hilft unser Schwachheit auf, </w:t>
      </w:r>
      <w:r w:rsidRPr="00AB26C2">
        <w:rPr>
          <w:rFonts w:eastAsia="Times New Roman" w:cs="Times New Roman"/>
          <w:i/>
          <w:iCs/>
          <w:color w:val="222222"/>
          <w:shd w:val="clear" w:color="auto" w:fill="FFFFFF"/>
        </w:rPr>
        <w:t>denn wir wissen nicht, was wir beten sollen, wie sich’s gebühret;</w:t>
      </w:r>
      <w:r>
        <w:rPr>
          <w:rFonts w:eastAsia="Times New Roman" w:cs="Times New Roman"/>
          <w:i/>
          <w:iCs/>
          <w:color w:val="222222"/>
          <w:shd w:val="clear" w:color="auto" w:fill="FFFFFF"/>
        </w:rPr>
        <w:t xml:space="preserve"> </w:t>
      </w:r>
      <w:r w:rsidRPr="00AB26C2">
        <w:rPr>
          <w:rFonts w:eastAsia="Times New Roman" w:cs="Times New Roman"/>
          <w:i/>
          <w:iCs/>
          <w:color w:val="222222"/>
          <w:shd w:val="clear" w:color="auto" w:fill="FFFFFF"/>
        </w:rPr>
        <w:t>sondern der Geist selbst vertritt uns aufs beste mit unaussprechlichem Seufzen.“</w:t>
      </w:r>
    </w:p>
    <w:p w14:paraId="17DDC5C0" w14:textId="77777777" w:rsidR="00E72DF3" w:rsidRDefault="00E72DF3" w:rsidP="005D085D">
      <w:pPr>
        <w:spacing w:line="276" w:lineRule="auto"/>
      </w:pPr>
    </w:p>
    <w:p w14:paraId="08FEF644" w14:textId="77777777" w:rsidR="00D107A4" w:rsidRDefault="00D107A4" w:rsidP="005D085D">
      <w:pPr>
        <w:spacing w:line="276" w:lineRule="auto"/>
      </w:pPr>
    </w:p>
    <w:p w14:paraId="383A4567" w14:textId="24BEDC45" w:rsidR="00D107A4" w:rsidRDefault="00D107A4" w:rsidP="005D085D">
      <w:pPr>
        <w:spacing w:line="276" w:lineRule="auto"/>
      </w:pPr>
      <w:r>
        <w:t>Leipzig, Mitte Oktober 1729.</w:t>
      </w:r>
    </w:p>
    <w:p w14:paraId="4336B4B2" w14:textId="55C8F438" w:rsidR="00D107A4" w:rsidRDefault="00D107A4" w:rsidP="005D085D">
      <w:pPr>
        <w:spacing w:line="276" w:lineRule="auto"/>
      </w:pPr>
      <w:r>
        <w:t>Große Aufregung und ziemlich Hektik in der Kantorenwohnung. Johann Heinrich Ernesti ist gestorben. Gerade kam die Nachricht. Mit 77 Jahren war das durchaus zu erwarten. Aber eigentlich ist doch jeder Tod zu früh. Zu früh für die Hinterbliebenen. Ernesti war Professor für Poetik an der Leipziger Universität und Rektor der Thomasschule. Ein liebenswürdiger Pädagoge, in den späteren Jahren vielleicht etwas</w:t>
      </w:r>
      <w:r w:rsidR="0073401C">
        <w:t xml:space="preserve"> schusselig und</w:t>
      </w:r>
      <w:r>
        <w:t xml:space="preserve"> verwirrt. Auf jeden Fall den Schülern intensiver zugewandt und fürsorglicher verbunden als der Institution und dem Gebäude</w:t>
      </w:r>
      <w:r w:rsidR="008150FE">
        <w:t xml:space="preserve"> der Thomasschule</w:t>
      </w:r>
      <w:r>
        <w:t>.</w:t>
      </w:r>
    </w:p>
    <w:p w14:paraId="5323F378" w14:textId="6A043043" w:rsidR="00D107A4" w:rsidRDefault="00D107A4" w:rsidP="005D085D">
      <w:pPr>
        <w:spacing w:line="276" w:lineRule="auto"/>
      </w:pPr>
      <w:r>
        <w:t xml:space="preserve">Ernesti war tot. Er hatte seinen Tod kommen sehen. „Bestelle dein Haus“ – so hieß es in </w:t>
      </w:r>
      <w:r w:rsidR="00174149">
        <w:t xml:space="preserve">einer von </w:t>
      </w:r>
      <w:r>
        <w:t>Bachs Trauerkantate</w:t>
      </w:r>
      <w:r w:rsidR="00174149">
        <w:t>n</w:t>
      </w:r>
      <w:r>
        <w:t>. Die Kunst des Sterbens, der Vorbereitung auf das Ende – das hatte Ernesti</w:t>
      </w:r>
      <w:r w:rsidR="008150FE">
        <w:t xml:space="preserve"> auf sich genommen. Ein böser Tod ist ein schneller Tod. Sich bewusst vorzubereiten,</w:t>
      </w:r>
      <w:r w:rsidR="0073401C">
        <w:t xml:space="preserve"> seine Angelegenheiten zu regeln,</w:t>
      </w:r>
      <w:r w:rsidR="008150FE">
        <w:t xml:space="preserve"> auch die Bestattung zu planen, ängstlich und doch auch zuversichtlich das Ende vor Augen – da war Ernesti nicht verwirrt, sondern tapfer. Bekanntlich eine der Kardinaltugenden</w:t>
      </w:r>
      <w:r w:rsidR="0073401C">
        <w:t>, auch für Christenmenschen</w:t>
      </w:r>
      <w:r w:rsidR="008150FE">
        <w:t>. Später wird man s</w:t>
      </w:r>
      <w:r w:rsidR="00C74C8C">
        <w:t xml:space="preserve">agen: </w:t>
      </w:r>
      <w:r w:rsidR="00174149">
        <w:t>„</w:t>
      </w:r>
      <w:r w:rsidR="00C74C8C">
        <w:t>Alt werden ist nicht für F</w:t>
      </w:r>
      <w:r w:rsidR="00174149">
        <w:t>eiglinge“ – und damit doch nur eine</w:t>
      </w:r>
      <w:r w:rsidR="0073401C">
        <w:t>n Teil</w:t>
      </w:r>
      <w:r w:rsidR="00174149">
        <w:t xml:space="preserve"> verstanden.</w:t>
      </w:r>
    </w:p>
    <w:p w14:paraId="10E70B82" w14:textId="1E1B6F0A" w:rsidR="008150FE" w:rsidRDefault="008150FE" w:rsidP="005D085D">
      <w:pPr>
        <w:spacing w:line="276" w:lineRule="auto"/>
      </w:pPr>
      <w:r>
        <w:t xml:space="preserve">Aufregung und Hektik in der Kantorenwohnung. </w:t>
      </w:r>
      <w:r w:rsidR="00C74C8C">
        <w:t>Ernesti hatte Bach um die Trauermusik gebeten und ihm und dem Thomaspfarrer die beiden Verse aus dem 8. Kapitel des Römerbriefs für Musik und Predigt genannt: Der Geist hilft unser Schwachheit auf.</w:t>
      </w:r>
    </w:p>
    <w:p w14:paraId="21ED0D14" w14:textId="00C4AE8C" w:rsidR="00C74C8C" w:rsidRDefault="00C74C8C" w:rsidP="005D085D">
      <w:pPr>
        <w:spacing w:line="276" w:lineRule="auto"/>
      </w:pPr>
      <w:r>
        <w:t>Bach war darauf vorbereitet. Aber offensichtlich nur zur Hälfte. Da traf es sich gut, dass die Verwaltungen und Räte</w:t>
      </w:r>
      <w:r w:rsidR="007A37B0">
        <w:t xml:space="preserve"> von Universität, Stadt und Kirche</w:t>
      </w:r>
      <w:r>
        <w:t xml:space="preserve"> sich erst einigen mussten, wo denn der Trauergottesdienst stattfinden solle. War Ernesti eher der Schulmann, dann Thomaskirche; oder war er eher der Universitätsprofessor, dann Universitätskirche, </w:t>
      </w:r>
      <w:r w:rsidR="00815006">
        <w:t xml:space="preserve">also </w:t>
      </w:r>
      <w:r>
        <w:t xml:space="preserve">die Paulinerkirche. Man brauchte einige Zeit, bis man sich für die Paulinerkirche entschied. Dort wurde dann am 21. Oktober </w:t>
      </w:r>
      <w:r w:rsidR="0073401C">
        <w:t>der akademische Festakt begangen</w:t>
      </w:r>
      <w:r>
        <w:t xml:space="preserve">. Die </w:t>
      </w:r>
      <w:r>
        <w:lastRenderedPageBreak/>
        <w:t xml:space="preserve">Predigt hielt der Thomaspfarrer, die Musik </w:t>
      </w:r>
      <w:r w:rsidR="00815006">
        <w:t xml:space="preserve">führte </w:t>
      </w:r>
      <w:r>
        <w:t>der Thomaskantor</w:t>
      </w:r>
      <w:r w:rsidR="00815006">
        <w:t xml:space="preserve"> und städtische Musikdirektor Bach auf</w:t>
      </w:r>
      <w:r>
        <w:t>.</w:t>
      </w:r>
    </w:p>
    <w:p w14:paraId="69955730" w14:textId="00B0C7D9" w:rsidR="00C74C8C" w:rsidRDefault="0073401C" w:rsidP="005D085D">
      <w:pPr>
        <w:spacing w:line="276" w:lineRule="auto"/>
      </w:pPr>
      <w:r>
        <w:t>Der</w:t>
      </w:r>
      <w:r w:rsidR="00C74C8C">
        <w:t xml:space="preserve"> hatte zwischen d</w:t>
      </w:r>
      <w:r w:rsidR="008217CB">
        <w:t>er Todesnachricht und dem Gedächtnis</w:t>
      </w:r>
      <w:r w:rsidR="00C74C8C">
        <w:t>gottesdienst</w:t>
      </w:r>
      <w:r w:rsidR="00174149">
        <w:t xml:space="preserve"> also</w:t>
      </w:r>
      <w:r w:rsidR="00C74C8C">
        <w:t xml:space="preserve"> </w:t>
      </w:r>
      <w:r w:rsidR="00174149">
        <w:t>fünf</w:t>
      </w:r>
      <w:r w:rsidR="00C74C8C">
        <w:t xml:space="preserve"> Tage</w:t>
      </w:r>
      <w:r w:rsidR="008217CB">
        <w:t>,</w:t>
      </w:r>
      <w:r w:rsidR="00C74C8C">
        <w:t xml:space="preserve"> um zu komponieren, zu kopieren und zu proben. </w:t>
      </w:r>
      <w:r w:rsidR="008217CB">
        <w:t>Das erhaltene Autograph</w:t>
      </w:r>
      <w:r w:rsidR="00174149">
        <w:t xml:space="preserve"> der Partitur</w:t>
      </w:r>
      <w:r w:rsidR="008217CB">
        <w:t xml:space="preserve"> zeigt </w:t>
      </w:r>
      <w:r>
        <w:t xml:space="preserve">sehr deutlich </w:t>
      </w:r>
      <w:r w:rsidR="008217CB">
        <w:t>die Arbeitsspuren und den Zeitdruck.</w:t>
      </w:r>
      <w:r w:rsidR="009F762C">
        <w:t xml:space="preserve"> Der erste Teil der Partitur ist in der wunderbaren, auch ästhetisch ansprechenden Notenschrift Bachs geschrieben: schwungvoll in den Anfangskoloraturen, genau</w:t>
      </w:r>
      <w:r w:rsidR="00174149">
        <w:t xml:space="preserve"> in der Fortsetzung. Dann hinterließ</w:t>
      </w:r>
      <w:r w:rsidR="009F762C">
        <w:t xml:space="preserve"> der Zeitdruck </w:t>
      </w:r>
      <w:r w:rsidR="00174149">
        <w:t>s</w:t>
      </w:r>
      <w:r w:rsidR="009F762C">
        <w:t>ein</w:t>
      </w:r>
      <w:r w:rsidR="00174149">
        <w:t>e Spuren</w:t>
      </w:r>
      <w:r w:rsidR="009F762C">
        <w:t xml:space="preserve">. Im Mittelteil gibt es viele nachträgliche Korrekturen. Der Bibelkenner Bach hatte den Text </w:t>
      </w:r>
      <w:r w:rsidR="00CB68AA">
        <w:t xml:space="preserve">offenbar </w:t>
      </w:r>
      <w:r w:rsidR="009F762C">
        <w:t>aus dem Gedächtnis notiert und dabei das kleine Wörtchen „selbst“ vergessen: „sondern der Geist se</w:t>
      </w:r>
      <w:r w:rsidR="007A37B0">
        <w:t>lbst vertritt uns aufs Beste“. Das w</w:t>
      </w:r>
      <w:r w:rsidR="009F762C">
        <w:t xml:space="preserve">urde </w:t>
      </w:r>
      <w:r w:rsidR="000E4A75">
        <w:t xml:space="preserve">dann </w:t>
      </w:r>
      <w:r w:rsidR="009F762C">
        <w:t>nachträglich samt notwendigen Verschiebungen eingefügt.</w:t>
      </w:r>
      <w:r w:rsidR="00CB68AA">
        <w:t xml:space="preserve"> Man kann sich das frustrierte Minenspiel der Kopisten (Johann Ludwig Krebs, Anna Magdalena, Wilhelm Friedemann und Carl Philipp Emmanuel Bach und zweite weitere Unbekannte) gut vorstellen.</w:t>
      </w:r>
      <w:r w:rsidR="004F2D7D">
        <w:t xml:space="preserve"> Statt </w:t>
      </w:r>
      <w:r w:rsidR="004F2D7D" w:rsidRPr="004F2D7D">
        <w:rPr>
          <w:i/>
        </w:rPr>
        <w:t>copy and paste</w:t>
      </w:r>
      <w:r w:rsidR="004F2D7D">
        <w:t xml:space="preserve"> oder schnelle Lösch- und Korrekturfunktion</w:t>
      </w:r>
      <w:r w:rsidR="007A37B0">
        <w:t>:</w:t>
      </w:r>
      <w:r w:rsidR="00C81C88">
        <w:t xml:space="preserve"> alles Handarbeit!</w:t>
      </w:r>
      <w:r w:rsidR="00CB68AA">
        <w:t xml:space="preserve"> </w:t>
      </w:r>
      <w:r w:rsidR="009F762C">
        <w:t>Für den abschließenden Choral blieb wohl kei</w:t>
      </w:r>
      <w:r w:rsidR="00E24C0C">
        <w:t>ne Zeit zum Ab</w:t>
      </w:r>
      <w:r w:rsidR="009F762C">
        <w:t xml:space="preserve">schreiben. Bach notiert nur: „Choral. Sequitur“ – Choral folgt. </w:t>
      </w:r>
    </w:p>
    <w:p w14:paraId="2E854AD3" w14:textId="77777777" w:rsidR="00D107A4" w:rsidRDefault="00D107A4" w:rsidP="005D085D">
      <w:pPr>
        <w:spacing w:line="276" w:lineRule="auto"/>
      </w:pPr>
    </w:p>
    <w:p w14:paraId="343E42F6" w14:textId="68F20F50" w:rsidR="00DB482C" w:rsidRDefault="00DB482C" w:rsidP="00DB482C">
      <w:pPr>
        <w:spacing w:line="276" w:lineRule="auto"/>
      </w:pPr>
      <w:r>
        <w:t>Mit Bach und Paulus zu</w:t>
      </w:r>
      <w:r w:rsidR="0021404B">
        <w:t xml:space="preserve"> predigen, heißt: groß zu predig</w:t>
      </w:r>
      <w:r>
        <w:t>en, kraftvoll und zuversichtlich zu reden und zu glauben. Ihr seid Töchter und Söhne Gottes, seid Träger des Geistes; Ihr alle seid Geistliche!</w:t>
      </w:r>
    </w:p>
    <w:p w14:paraId="5B24F869" w14:textId="505D93FE" w:rsidR="00C52D33" w:rsidRDefault="00C52D33" w:rsidP="00C52D33">
      <w:pPr>
        <w:spacing w:line="276" w:lineRule="auto"/>
      </w:pPr>
      <w:r>
        <w:t>Groß und kraftvoll und theologisch vom Menschen</w:t>
      </w:r>
      <w:r w:rsidR="00033833">
        <w:t xml:space="preserve"> zu</w:t>
      </w:r>
      <w:r>
        <w:t xml:space="preserve"> denken – das führt nicht in ein geistliches Reservat, sondern mitten hinein in die Welt. Und da nehme ich alles andere als Geistliches wahr: Egoismus im Kleinen und Großen, Politiker, denen die Maßstäbe abhanden gekommen sind, Universitäten, deren lebendiger Geist durch Dauer-rankings nicht immer beflügelt wird, Kirchen, den</w:t>
      </w:r>
      <w:r w:rsidR="00033833">
        <w:t>en Traditionen,</w:t>
      </w:r>
      <w:r>
        <w:t xml:space="preserve"> Normen</w:t>
      </w:r>
      <w:r w:rsidR="00033833">
        <w:t xml:space="preserve"> und Gebäudebestände</w:t>
      </w:r>
      <w:r>
        <w:t xml:space="preserve"> wichtiger sind als Menschen. </w:t>
      </w:r>
    </w:p>
    <w:p w14:paraId="345ABA6C" w14:textId="3ED08C6E" w:rsidR="00C52D33" w:rsidRDefault="00C52D33" w:rsidP="00C52D33">
      <w:pPr>
        <w:spacing w:line="276" w:lineRule="auto"/>
      </w:pPr>
      <w:r>
        <w:t>Paulus sieht dies im Römerbrief noch umfassender. Er weitet den Blick vom Einzelnen, von Politik, Gesellschaft und Kirche auf den gesamten Kosmos. Überall wird gelitten. Überall ein Ächzen und Stöhnen und ein Warten auf Befreiung. Aber nicht nur die Schöpfung samt allen Kreaturen, sondern mit ihnen der Mensch: Er seufzt unter all den Belastungen, großen und kleinen, seelischen wie körperlichen; er stöhnt, weil er sieht und spürt, wie wenig sich zum Guten wendet, wie arrogant die Mächtigen vorgehen, wie die Sprache verroht und den Hass salonfähig macht; er verzweifelt angesichts des Unrechts, aber auch angesichts der Vergänglichkeit des eigenen Lebens</w:t>
      </w:r>
      <w:r w:rsidR="00C8179E">
        <w:t xml:space="preserve"> und der Einsamkeit mitten in betriebsamer Hektik</w:t>
      </w:r>
      <w:r>
        <w:t xml:space="preserve">. </w:t>
      </w:r>
    </w:p>
    <w:p w14:paraId="17AE98C1" w14:textId="5772300B" w:rsidR="00C52D33" w:rsidRDefault="00C52D33" w:rsidP="00C52D33">
      <w:pPr>
        <w:spacing w:line="276" w:lineRule="auto"/>
      </w:pPr>
      <w:r>
        <w:t xml:space="preserve">Was hilft hier? Eine fromme Seele könnte antworten: auf Gott schauen und beten. </w:t>
      </w:r>
      <w:r w:rsidR="008A7126">
        <w:t xml:space="preserve">Darauf antwortet </w:t>
      </w:r>
      <w:r>
        <w:t>Paulus radikal</w:t>
      </w:r>
      <w:r w:rsidR="00033833">
        <w:t>; er schreibt: B</w:t>
      </w:r>
      <w:r w:rsidR="008A7126">
        <w:t>eides geht nicht.</w:t>
      </w:r>
      <w:r>
        <w:t xml:space="preserve"> Denn Gott kann niemand sehen, du kannst nur auf Befreiung hoffen, und Hoffnung sieht nicht. Und: Rede</w:t>
      </w:r>
      <w:r w:rsidR="008A7126">
        <w:t xml:space="preserve">n zu Gott, kann </w:t>
      </w:r>
      <w:r>
        <w:t>niemand</w:t>
      </w:r>
      <w:r w:rsidR="008A7126">
        <w:t xml:space="preserve"> aus sich selbst</w:t>
      </w:r>
      <w:r>
        <w:t xml:space="preserve">. </w:t>
      </w:r>
      <w:r w:rsidR="005D5212">
        <w:t>Auch als Geistträger, als Geistliche sind wir</w:t>
      </w:r>
      <w:r w:rsidR="00CA0FAB">
        <w:t xml:space="preserve"> alle</w:t>
      </w:r>
      <w:r w:rsidR="005D5212">
        <w:t xml:space="preserve"> zu schwach dazu.</w:t>
      </w:r>
    </w:p>
    <w:p w14:paraId="10C85754" w14:textId="125F38F6" w:rsidR="00CA0FAB" w:rsidRDefault="005D5212" w:rsidP="005D085D">
      <w:pPr>
        <w:spacing w:line="276" w:lineRule="auto"/>
      </w:pPr>
      <w:r>
        <w:t>Diese Einsicht des Paulus macht Bach groß. Mit einem ungeheuren Schwung wird uns der Geist und sein Wirken in die Ohren und ins ängstliche Herz gesungen.</w:t>
      </w:r>
      <w:r w:rsidR="00613644">
        <w:t xml:space="preserve"> Wahrlich etwas anderes als eine Trauermusik! Oder gerade dann nötig:</w:t>
      </w:r>
      <w:r>
        <w:t xml:space="preserve"> </w:t>
      </w:r>
      <w:r w:rsidR="00A757A4">
        <w:t>Der Geist hilft au</w:t>
      </w:r>
      <w:r w:rsidR="00AD4AA8">
        <w:t>f, hebt dad</w:t>
      </w:r>
      <w:r w:rsidR="0021404B">
        <w:t>urch auch uns empor, bewegt uns, auch vom Tod zum Leben.</w:t>
      </w:r>
    </w:p>
    <w:p w14:paraId="4A94424A" w14:textId="5D6A0600" w:rsidR="00D107A4" w:rsidRDefault="00A757A4" w:rsidP="005D085D">
      <w:pPr>
        <w:spacing w:line="276" w:lineRule="auto"/>
      </w:pPr>
      <w:r>
        <w:lastRenderedPageBreak/>
        <w:t xml:space="preserve">Wenn ich bete, auch im Gottesdienst, bin ich eher versunken, schaue nach unten, schließe die Augen und konzentriere mich. Das hat Sinn, denn es ist ja auch eine Konzentration nach innen und </w:t>
      </w:r>
      <w:r w:rsidR="00AD4AA8">
        <w:t>hat zu tun mit der stark</w:t>
      </w:r>
      <w:r>
        <w:t xml:space="preserve">en evangelischen Tradition, dass das Beten ein Beten des Herzens sein soll. </w:t>
      </w:r>
      <w:r w:rsidR="00B77036">
        <w:t>Luther dichtete: „hilf, dass nicht bet allein der Mund, hilf, dass es geh von Herzensgrund“ (EG 344,1).</w:t>
      </w:r>
    </w:p>
    <w:p w14:paraId="2B8E1486" w14:textId="428A1405" w:rsidR="00AB1FA9" w:rsidRDefault="00CA0FAB" w:rsidP="005D085D">
      <w:pPr>
        <w:spacing w:line="276" w:lineRule="auto"/>
      </w:pPr>
      <w:r>
        <w:t>Aber der Geist hilft auf, hebt empor – das, was wir sagen, das, wie wir</w:t>
      </w:r>
      <w:r w:rsidR="00AD4AA8">
        <w:t xml:space="preserve"> vor Gott</w:t>
      </w:r>
      <w:r>
        <w:t xml:space="preserve"> sind. </w:t>
      </w:r>
      <w:r w:rsidR="00233666">
        <w:t xml:space="preserve">Mit der Abendmahlsliturgie gesprochen: „Erhebet eure Herzen!“ Das Gebet von Herzensgrund kann innerlich sein, aber es </w:t>
      </w:r>
      <w:r w:rsidR="00AD4AA8">
        <w:t>kann auch mit offenen Augen und erhobenen</w:t>
      </w:r>
      <w:r w:rsidR="00233666">
        <w:t xml:space="preserve"> </w:t>
      </w:r>
      <w:r w:rsidR="00AD4AA8">
        <w:t>Herzen</w:t>
      </w:r>
      <w:r w:rsidR="00233666">
        <w:t xml:space="preserve"> geschehen. Vielleicht hat der Apostel Paulus bei dem unausprechlichen Seufzen des Geistes an die ekstatischen Gebete seiner Gemeinden </w:t>
      </w:r>
      <w:r w:rsidR="00BB30D8">
        <w:t xml:space="preserve">gedacht. </w:t>
      </w:r>
      <w:r w:rsidR="00AD4AA8">
        <w:t>Dann wäre wie bei Bach viel Bewegung dabei</w:t>
      </w:r>
      <w:r w:rsidR="00AB1FA9">
        <w:t>.</w:t>
      </w:r>
      <w:r w:rsidR="0021404B">
        <w:t xml:space="preserve"> So wie wir es in allen Konzerten der Summer School erlebt haben: von der Matthäuspassion bis zu „Orgel und Tanz“, vom Chor- und Solistenkonzert „With Song and Dance“ zu Monteverdis Madrigalen und getanztem Epos. Bewegung auch als Gebet! Gebet auch als Bewegung!</w:t>
      </w:r>
    </w:p>
    <w:p w14:paraId="34BFEF38" w14:textId="1044D8D5" w:rsidR="00D107A4" w:rsidRDefault="00AD4AA8" w:rsidP="005D085D">
      <w:pPr>
        <w:spacing w:line="276" w:lineRule="auto"/>
      </w:pPr>
      <w:r>
        <w:t>Wenn mir die Worte und Gedanken zum Beten fehlen, nur Stammeln oder Schweigen kommt, dann höre ich</w:t>
      </w:r>
      <w:r w:rsidR="0021404B">
        <w:t xml:space="preserve"> in der Motette</w:t>
      </w:r>
      <w:r w:rsidR="0026598A">
        <w:t xml:space="preserve"> immer neu: D</w:t>
      </w:r>
      <w:r>
        <w:t xml:space="preserve">er Geist hilft, er vertritt mich, </w:t>
      </w:r>
      <w:r w:rsidR="00063430">
        <w:t xml:space="preserve">er selbst, </w:t>
      </w:r>
      <w:r>
        <w:t>er hebt mein Stammeln, Seufzen oder Schweigen zu Gott empor.</w:t>
      </w:r>
      <w:r w:rsidR="00AB1FA9">
        <w:t xml:space="preserve"> Und was geschieht dort?</w:t>
      </w:r>
    </w:p>
    <w:p w14:paraId="4249051F" w14:textId="77777777" w:rsidR="00D107A4" w:rsidRDefault="00D107A4" w:rsidP="005D085D">
      <w:pPr>
        <w:spacing w:line="276" w:lineRule="auto"/>
      </w:pPr>
    </w:p>
    <w:p w14:paraId="06563E92" w14:textId="77777777" w:rsidR="00D107A4" w:rsidRDefault="00D107A4" w:rsidP="005D085D">
      <w:pPr>
        <w:spacing w:line="276" w:lineRule="auto"/>
      </w:pPr>
    </w:p>
    <w:p w14:paraId="003B266E" w14:textId="401FBCFA" w:rsidR="005703B0" w:rsidRPr="009E7F9F" w:rsidRDefault="009E7F9F" w:rsidP="005703B0">
      <w:pPr>
        <w:spacing w:line="276" w:lineRule="auto"/>
        <w:rPr>
          <w:i/>
        </w:rPr>
      </w:pPr>
      <w:r w:rsidRPr="009E7F9F">
        <w:rPr>
          <w:i/>
        </w:rPr>
        <w:t>Chor: „</w:t>
      </w:r>
      <w:r w:rsidRPr="009E7F9F">
        <w:rPr>
          <w:rFonts w:eastAsia="Times New Roman" w:cs="Times New Roman"/>
          <w:i/>
          <w:iCs/>
          <w:color w:val="222222"/>
          <w:shd w:val="clear" w:color="auto" w:fill="FFFFFF"/>
        </w:rPr>
        <w:t>Der aber die Herzen forschet, der weiß, was des Geistes Sinn sei; denn er vertritt die Heiligen nach dem, das Gott gefället.</w:t>
      </w:r>
      <w:r w:rsidR="005703B0" w:rsidRPr="009E7F9F">
        <w:rPr>
          <w:i/>
        </w:rPr>
        <w:t>“</w:t>
      </w:r>
    </w:p>
    <w:p w14:paraId="783DF5F1" w14:textId="77777777" w:rsidR="005703B0" w:rsidRDefault="005703B0" w:rsidP="005703B0">
      <w:pPr>
        <w:spacing w:line="276" w:lineRule="auto"/>
      </w:pPr>
    </w:p>
    <w:p w14:paraId="35AB2561" w14:textId="77777777" w:rsidR="00D107A4" w:rsidRDefault="00D107A4" w:rsidP="005D085D">
      <w:pPr>
        <w:spacing w:line="276" w:lineRule="auto"/>
      </w:pPr>
    </w:p>
    <w:p w14:paraId="01C5D8E0" w14:textId="47BE1E77" w:rsidR="00D107A4" w:rsidRDefault="00CB13D9" w:rsidP="005D085D">
      <w:pPr>
        <w:spacing w:line="276" w:lineRule="auto"/>
      </w:pPr>
      <w:r>
        <w:t>Diesen Teil der Partitur hat Bach wieder</w:t>
      </w:r>
      <w:r w:rsidR="0026598A">
        <w:t xml:space="preserve"> in Reinschrift</w:t>
      </w:r>
      <w:r>
        <w:t xml:space="preserve"> geschrieben, wenn auch nicht ganz so wie die ersten 120 Takte. Etwas mehr Zeit wird er hier gehabt habe</w:t>
      </w:r>
      <w:r w:rsidR="00526E8F">
        <w:t>n. Ich könnte auch vermuten: D</w:t>
      </w:r>
      <w:r>
        <w:t>em großen Meister der Fuge is</w:t>
      </w:r>
      <w:r w:rsidR="00526E8F">
        <w:t xml:space="preserve">t es hier leichter gefallen, die beiden </w:t>
      </w:r>
      <w:r w:rsidR="0026598A">
        <w:t xml:space="preserve">musikalischen </w:t>
      </w:r>
      <w:r w:rsidR="00526E8F">
        <w:t>Themen</w:t>
      </w:r>
      <w:r>
        <w:t xml:space="preserve"> auszuarbeiten.</w:t>
      </w:r>
    </w:p>
    <w:p w14:paraId="056C1559" w14:textId="5223CBDC" w:rsidR="00C15739" w:rsidRDefault="00CB2621" w:rsidP="005D085D">
      <w:pPr>
        <w:spacing w:line="276" w:lineRule="auto"/>
      </w:pPr>
      <w:r>
        <w:t>Nach dem gravitätischen Beginn, ganz im alten Stil gehalten, fällt mir besonders das zweite Thema ins Ohr. Es ist leichter, tänzerischer</w:t>
      </w:r>
      <w:r w:rsidR="00526E8F">
        <w:t>, beweglicher</w:t>
      </w:r>
      <w:r>
        <w:t xml:space="preserve"> und umschreibt</w:t>
      </w:r>
      <w:r w:rsidR="00690F19">
        <w:t xml:space="preserve"> diesmal nicht den Geist, sondern</w:t>
      </w:r>
      <w:r>
        <w:t xml:space="preserve"> die Heiligen mit vielen Noten und Melismen. </w:t>
      </w:r>
      <w:r w:rsidR="00526E8F">
        <w:t>Da kann sich jede und jeder von uns</w:t>
      </w:r>
      <w:r w:rsidR="00C15739">
        <w:t xml:space="preserve"> hineinhören oder hineinversetzen</w:t>
      </w:r>
      <w:r w:rsidR="00526E8F">
        <w:t>. Der Geist bringt nicht nur die Gebete besonderer Menschen und Heiliger zu G</w:t>
      </w:r>
      <w:r w:rsidR="00C15739">
        <w:t>ott, sondern die von uns allen.</w:t>
      </w:r>
    </w:p>
    <w:p w14:paraId="2D191C45" w14:textId="0B22F021" w:rsidR="00CB2621" w:rsidRDefault="00690F19" w:rsidP="005D085D">
      <w:pPr>
        <w:spacing w:line="276" w:lineRule="auto"/>
      </w:pPr>
      <w:r>
        <w:t>Wenn Gott mein Herz erforscht und</w:t>
      </w:r>
      <w:r w:rsidR="00C15739">
        <w:t xml:space="preserve"> mich</w:t>
      </w:r>
      <w:r>
        <w:t xml:space="preserve"> kennt, hat das eine prüfende Seite und eine entlastende. </w:t>
      </w:r>
      <w:r w:rsidR="00C15739">
        <w:t>Auch das Dunkle in mir ist offenbar vor ihm. Ich kann es nicht vor ihm verbergen, brauche es daher auch gar nicht zu versuchen. Dann kann ich mit Augustin einstimmen und beke</w:t>
      </w:r>
      <w:r w:rsidR="006F496C">
        <w:t>nnen: Unruhig ist unser</w:t>
      </w:r>
      <w:r w:rsidR="00C15739">
        <w:t xml:space="preserve"> Herz, bis es Ruhe findet in Dir.</w:t>
      </w:r>
      <w:r w:rsidR="00F1555A">
        <w:t xml:space="preserve"> Nicht nur am Ende der Zeit, sondern schon jetzt!</w:t>
      </w:r>
    </w:p>
    <w:p w14:paraId="77D36C3D" w14:textId="32E10FA4" w:rsidR="00C15739" w:rsidRDefault="005A0AFB" w:rsidP="005D085D">
      <w:pPr>
        <w:spacing w:line="276" w:lineRule="auto"/>
      </w:pPr>
      <w:r>
        <w:t>Bach vertont, dass Gott unser unruhiges Herz kennt und er betont die Heiligen in ihrer Vielzahl. Aber der Pfiff liegt noch woanders.</w:t>
      </w:r>
    </w:p>
    <w:p w14:paraId="7998D45B" w14:textId="0E940A41" w:rsidR="00C15739" w:rsidRDefault="005A0AFB" w:rsidP="005D085D">
      <w:pPr>
        <w:spacing w:line="276" w:lineRule="auto"/>
      </w:pPr>
      <w:r>
        <w:t>Der Meister der Fuge ist eben auch ein</w:t>
      </w:r>
      <w:r w:rsidR="00F1555A">
        <w:t xml:space="preserve"> wahrer</w:t>
      </w:r>
      <w:r>
        <w:t xml:space="preserve"> Meister und kein Handwerker. Der musikwissenschaftlichen Analyse zeigt sich zu Beginn eine meisterliche Fuge mit vielen kleinen wunderbaren Details. Aber im zweiten Teil sind die Ausarbeitungen etwas merkwürdig, n</w:t>
      </w:r>
      <w:r w:rsidR="000617A6">
        <w:t>icht wirklich regelgerecht. Statt einer regelgerechten Durchführung</w:t>
      </w:r>
      <w:r>
        <w:t xml:space="preserve"> vari</w:t>
      </w:r>
      <w:r>
        <w:lastRenderedPageBreak/>
        <w:t>iert</w:t>
      </w:r>
      <w:r w:rsidR="000617A6">
        <w:t xml:space="preserve"> Bach</w:t>
      </w:r>
      <w:r>
        <w:t xml:space="preserve"> die Themen und variiert die Variationen</w:t>
      </w:r>
      <w:r w:rsidR="000617A6">
        <w:t xml:space="preserve"> (ab T.202)</w:t>
      </w:r>
      <w:r>
        <w:t xml:space="preserve">. </w:t>
      </w:r>
      <w:r w:rsidR="00B5490D">
        <w:t xml:space="preserve">Ein Musikwissenschaftler beschreibt und deutet es </w:t>
      </w:r>
      <w:r w:rsidR="00F1555A">
        <w:t xml:space="preserve">treffend </w:t>
      </w:r>
      <w:r w:rsidR="00B5490D">
        <w:t>so: „Das 2. Thema gibt vorübergehend seine Identität auf, es lässt sich vertr</w:t>
      </w:r>
      <w:r w:rsidR="00A95D66">
        <w:t>eten</w:t>
      </w:r>
      <w:r w:rsidR="00B5490D">
        <w:t>. Es überträgt seine Stimme einem anderen; von ihm vorgetragen, klingen die Worte anders, aber sie sagen das gleiche“ (Hofmann, 110).</w:t>
      </w:r>
    </w:p>
    <w:p w14:paraId="638C9CF9" w14:textId="3DA1DA72" w:rsidR="00B5490D" w:rsidRDefault="00B5490D" w:rsidP="005D085D">
      <w:pPr>
        <w:spacing w:line="276" w:lineRule="auto"/>
      </w:pPr>
      <w:r>
        <w:t xml:space="preserve">Der Meister der Fuge ist eben auch ein Meister der Theologie: </w:t>
      </w:r>
      <w:r w:rsidR="00EC0276">
        <w:t xml:space="preserve">Der Geist vertritt uns, er nimmt unsere stammelnden Worte auf und verwandelt sie in ein Gebet, das Gott erreicht. </w:t>
      </w:r>
    </w:p>
    <w:p w14:paraId="398988AE" w14:textId="01F23838" w:rsidR="00CB2621" w:rsidRDefault="009847C6" w:rsidP="005D085D">
      <w:pPr>
        <w:spacing w:line="276" w:lineRule="auto"/>
      </w:pPr>
      <w:r>
        <w:t>Sicher ist zu bezweifeln, dass diese</w:t>
      </w:r>
      <w:r w:rsidR="00190769">
        <w:t xml:space="preserve"> musikalische und theologische</w:t>
      </w:r>
      <w:r>
        <w:t xml:space="preserve"> Meisterschaft von jedem zu hören ist – weder</w:t>
      </w:r>
      <w:r w:rsidR="00D5318E">
        <w:t xml:space="preserve"> damals</w:t>
      </w:r>
      <w:r>
        <w:t xml:space="preserve"> im</w:t>
      </w:r>
      <w:r w:rsidR="00D5318E">
        <w:t xml:space="preserve"> akademischen Trauergottesdienst</w:t>
      </w:r>
      <w:r>
        <w:t xml:space="preserve"> in Leipzig noch </w:t>
      </w:r>
      <w:r w:rsidR="00D5318E">
        <w:t xml:space="preserve">im Universitätsgottesdienst </w:t>
      </w:r>
      <w:r>
        <w:t>hier und heute. Ich</w:t>
      </w:r>
      <w:r w:rsidR="00D5318E">
        <w:t xml:space="preserve"> zumindest</w:t>
      </w:r>
      <w:r>
        <w:t xml:space="preserve"> könnte es nicht. </w:t>
      </w:r>
      <w:r w:rsidR="00612456">
        <w:t>Es k</w:t>
      </w:r>
      <w:r w:rsidR="009D3519">
        <w:t>ommt auch auf etwas A</w:t>
      </w:r>
      <w:r w:rsidR="00612456">
        <w:t xml:space="preserve">nderes an: </w:t>
      </w:r>
      <w:r w:rsidR="009D3519">
        <w:t>Ich muss nicht</w:t>
      </w:r>
      <w:r w:rsidR="00CB1E19">
        <w:t xml:space="preserve"> beim Hören begreif</w:t>
      </w:r>
      <w:r w:rsidR="00B71EB5">
        <w:t>en, wie Bach es komponiert;</w:t>
      </w:r>
      <w:r w:rsidR="009D3519">
        <w:t xml:space="preserve"> und ich muss und kann es nicht verstehen, wie der Heilige Geist meine Gebete aufnimmt und verwandelt. </w:t>
      </w:r>
      <w:r w:rsidR="00585EB7">
        <w:t>Es ist genug zu wissen, dass er es tut.</w:t>
      </w:r>
    </w:p>
    <w:p w14:paraId="45359BDE" w14:textId="17CC2912" w:rsidR="00CB1E19" w:rsidRDefault="00CB1E19" w:rsidP="005D085D">
      <w:pPr>
        <w:spacing w:line="276" w:lineRule="auto"/>
      </w:pPr>
      <w:r>
        <w:t xml:space="preserve">Paulus und Bach rufen mir zu: Denk und glaube </w:t>
      </w:r>
      <w:r w:rsidR="00B05A83">
        <w:t>groß von Gott und seinem Geist, und lass dich davon nicht klein machen, sondern erheben – die Herzen in die Höhe!</w:t>
      </w:r>
    </w:p>
    <w:p w14:paraId="0E504CBE" w14:textId="399CC727" w:rsidR="00B05A83" w:rsidRDefault="00B05A83" w:rsidP="005D085D">
      <w:pPr>
        <w:spacing w:line="276" w:lineRule="auto"/>
      </w:pPr>
    </w:p>
    <w:p w14:paraId="1DB14CB8" w14:textId="77777777" w:rsidR="00585EB7" w:rsidRDefault="00585EB7" w:rsidP="005D085D">
      <w:pPr>
        <w:spacing w:line="276" w:lineRule="auto"/>
      </w:pPr>
      <w:r>
        <w:t>Noch eine letzte Frage</w:t>
      </w:r>
      <w:r w:rsidR="00B87292">
        <w:t>:</w:t>
      </w:r>
      <w:r w:rsidR="00B05A83">
        <w:t xml:space="preserve"> </w:t>
      </w:r>
      <w:r w:rsidR="00A833B3">
        <w:t>Woran liegt es, dass wir im Glauben, Beten und Handeln so eng und kleingeistig sind</w:t>
      </w:r>
      <w:r w:rsidR="00BD62B0">
        <w:t xml:space="preserve"> und</w:t>
      </w:r>
      <w:r w:rsidR="00783F4D">
        <w:t xml:space="preserve"> es</w:t>
      </w:r>
      <w:r w:rsidR="00BD62B0">
        <w:t xml:space="preserve"> immer wieder werden</w:t>
      </w:r>
      <w:r>
        <w:t>?</w:t>
      </w:r>
    </w:p>
    <w:p w14:paraId="4E90EA80" w14:textId="784A4269" w:rsidR="00B05A83" w:rsidRDefault="00A833B3" w:rsidP="005D085D">
      <w:pPr>
        <w:spacing w:line="276" w:lineRule="auto"/>
      </w:pPr>
      <w:r>
        <w:t>Eine Antwort liefert der abschließende Choral</w:t>
      </w:r>
      <w:r w:rsidR="00BD62B0">
        <w:t xml:space="preserve"> in der 6. Zeile</w:t>
      </w:r>
      <w:r>
        <w:t xml:space="preserve"> – im kraftvollen Lutherdeutsch: </w:t>
      </w:r>
      <w:r w:rsidR="002D683B">
        <w:t>„</w:t>
      </w:r>
      <w:r w:rsidR="00BD62B0">
        <w:t xml:space="preserve">stärk </w:t>
      </w:r>
      <w:r>
        <w:t>des Fleisches Blödigkeit</w:t>
      </w:r>
      <w:r w:rsidR="002D683B">
        <w:t>“</w:t>
      </w:r>
      <w:r>
        <w:t xml:space="preserve"> oder heute etwas vornehmer: </w:t>
      </w:r>
      <w:r w:rsidR="002D683B">
        <w:t>„</w:t>
      </w:r>
      <w:r w:rsidR="00BD62B0">
        <w:t xml:space="preserve">wehr </w:t>
      </w:r>
      <w:r>
        <w:t>des Fleisches Ängstlichkeit</w:t>
      </w:r>
      <w:r w:rsidR="002D683B">
        <w:t>“</w:t>
      </w:r>
      <w:r>
        <w:t xml:space="preserve">. </w:t>
      </w:r>
      <w:r w:rsidR="00BD62B0">
        <w:t>Beides stimmt. Diese Blödigkeit hat offensichtlich nichts mit dem IQ zu tun. Zur Lutherzeit war des Fleisches Blödigkeit seine Kraftlosigkeit und Schwäche – die muss gestärkt werden durch den Geist. Wer nur ängstlich lebt, ist gefangen. Der Ängstlichkeit soll daher gewehrt werden</w:t>
      </w:r>
      <w:r w:rsidR="007F191D">
        <w:t>, sie muss vertrieben</w:t>
      </w:r>
      <w:r w:rsidR="00585EB7">
        <w:t xml:space="preserve"> und das</w:t>
      </w:r>
      <w:r w:rsidR="000617A6">
        <w:t xml:space="preserve"> seelische</w:t>
      </w:r>
      <w:r w:rsidR="00585EB7">
        <w:t xml:space="preserve"> Gefängnis geöffnet</w:t>
      </w:r>
      <w:r w:rsidR="007F191D">
        <w:t xml:space="preserve"> werden.</w:t>
      </w:r>
      <w:r w:rsidR="00783F4D">
        <w:t xml:space="preserve"> </w:t>
      </w:r>
    </w:p>
    <w:p w14:paraId="162147EE" w14:textId="327AD7F0" w:rsidR="00783F4D" w:rsidRDefault="00783F4D" w:rsidP="005D085D">
      <w:pPr>
        <w:spacing w:line="276" w:lineRule="auto"/>
      </w:pPr>
      <w:r>
        <w:t xml:space="preserve">Wie geht das Stärken und Wehren? </w:t>
      </w:r>
      <w:r w:rsidR="006A3F37">
        <w:t>Es geht so, dass ich darum bete</w:t>
      </w:r>
      <w:r w:rsidR="000617A6">
        <w:t xml:space="preserve"> – mit Wort und Musik und in Bewegung</w:t>
      </w:r>
      <w:r w:rsidR="006A3F37">
        <w:t>. Aus mir selbst kann ich es nicht. Der Geist, der unser Gebet emporhebt, wird hier angesprochen als „heilige Brunst, süßer Trost“</w:t>
      </w:r>
      <w:r w:rsidR="00585EB7">
        <w:t>, also als</w:t>
      </w:r>
      <w:r w:rsidR="002F093F">
        <w:t xml:space="preserve"> die Liebe. Nicht die harmlose, folgenlose Liebe</w:t>
      </w:r>
      <w:r w:rsidR="000617A6">
        <w:t>lei</w:t>
      </w:r>
      <w:r w:rsidR="002F093F">
        <w:t>, sondern die leidenschaftliche und inbrünstige Liebe</w:t>
      </w:r>
      <w:r w:rsidR="00585EB7">
        <w:t>!</w:t>
      </w:r>
      <w:r w:rsidR="002F093F">
        <w:t xml:space="preserve"> Zu Beginn des Gottesdienstes haben wir von ihr aus dem Hohenlied gehört. Hier</w:t>
      </w:r>
      <w:r w:rsidR="00CD198D">
        <w:t xml:space="preserve"> nun</w:t>
      </w:r>
      <w:r w:rsidR="002F093F">
        <w:t xml:space="preserve"> ist sie Eigenschaft Gottes und seines Geistes selbst. </w:t>
      </w:r>
      <w:r w:rsidR="00CD198D">
        <w:t>Der mein Herz kennt und erforscht, ist der mich leidenschaftlich Liebende. Auch ihm gegenüber bleibt es oft beim Stamm</w:t>
      </w:r>
      <w:r w:rsidR="00585EB7">
        <w:t>eln. Aber ich bitte, dass diese</w:t>
      </w:r>
      <w:r w:rsidR="00CD198D">
        <w:t xml:space="preserve"> leidenschaftliche Kraft der Liebe meine Blödigkeit stärken und meiner Angst wehren möchte, dass ich ritterlich ringen und durch Tod und Leben zu Gott dringen möge.</w:t>
      </w:r>
    </w:p>
    <w:p w14:paraId="4F390601" w14:textId="77777777" w:rsidR="00825713" w:rsidRDefault="00825713" w:rsidP="005D085D">
      <w:pPr>
        <w:spacing w:line="276" w:lineRule="auto"/>
      </w:pPr>
    </w:p>
    <w:p w14:paraId="1DB23273" w14:textId="0CF0DD93" w:rsidR="008D6270" w:rsidRDefault="00CD198D" w:rsidP="005D085D">
      <w:pPr>
        <w:spacing w:line="276" w:lineRule="auto"/>
      </w:pPr>
      <w:r>
        <w:t>Johann Heinrich Ernesti hat seine Tapferkeit und sein</w:t>
      </w:r>
      <w:r w:rsidR="000617A6">
        <w:t xml:space="preserve"> ritterliches</w:t>
      </w:r>
      <w:r>
        <w:t xml:space="preserve"> Ringen bekundet. </w:t>
      </w:r>
      <w:r w:rsidR="00365C63">
        <w:t xml:space="preserve">Bach und Paulus haben Gottes Größe und seine leidenschaftliche Liebe in Töne und Worte gesetzt. </w:t>
      </w:r>
      <w:r w:rsidR="002E5186">
        <w:t>Lasst uns ihnen mehr vertrauen als unserer Schwäche!</w:t>
      </w:r>
      <w:r w:rsidR="00921844">
        <w:t xml:space="preserve"> Lasst uns kraftvoll und zuversichtlich leben, lieben und loben: Halleluja.</w:t>
      </w:r>
    </w:p>
    <w:p w14:paraId="0F711B42" w14:textId="77777777" w:rsidR="00172C61" w:rsidRDefault="00172C61" w:rsidP="005D085D">
      <w:pPr>
        <w:spacing w:line="276" w:lineRule="auto"/>
      </w:pPr>
    </w:p>
    <w:p w14:paraId="012F7811" w14:textId="77777777" w:rsidR="00172C61" w:rsidRDefault="00172C61" w:rsidP="005D085D">
      <w:pPr>
        <w:spacing w:line="276" w:lineRule="auto"/>
      </w:pPr>
    </w:p>
    <w:p w14:paraId="044CEB16" w14:textId="2A1E8F44" w:rsidR="009E7F9F" w:rsidRPr="009E7F9F" w:rsidRDefault="00172C61" w:rsidP="009E7F9F">
      <w:pPr>
        <w:spacing w:line="276" w:lineRule="auto"/>
        <w:rPr>
          <w:rFonts w:eastAsia="Times New Roman" w:cs="Times New Roman"/>
          <w:i/>
        </w:rPr>
      </w:pPr>
      <w:r>
        <w:rPr>
          <w:i/>
        </w:rPr>
        <w:t xml:space="preserve">Chor: </w:t>
      </w:r>
      <w:r w:rsidR="009E7F9F" w:rsidRPr="009E7F9F">
        <w:rPr>
          <w:rFonts w:eastAsia="Times New Roman" w:cs="Times New Roman"/>
          <w:i/>
          <w:iCs/>
          <w:color w:val="222222"/>
          <w:shd w:val="clear" w:color="auto" w:fill="FFFFFF"/>
        </w:rPr>
        <w:t>Du heilige Brunst, süßer Trost,</w:t>
      </w:r>
      <w:r w:rsidR="009E7F9F" w:rsidRPr="009E7F9F">
        <w:rPr>
          <w:rFonts w:eastAsia="Times New Roman" w:cs="Times New Roman"/>
          <w:i/>
          <w:iCs/>
          <w:color w:val="222222"/>
        </w:rPr>
        <w:br/>
      </w:r>
      <w:r w:rsidR="009E7F9F" w:rsidRPr="009E7F9F">
        <w:rPr>
          <w:rFonts w:eastAsia="Times New Roman" w:cs="Times New Roman"/>
          <w:i/>
          <w:iCs/>
          <w:color w:val="222222"/>
          <w:shd w:val="clear" w:color="auto" w:fill="FFFFFF"/>
        </w:rPr>
        <w:t>Nun hilf uns, fröhlich und getrost</w:t>
      </w:r>
      <w:r w:rsidR="009E7F9F" w:rsidRPr="009E7F9F">
        <w:rPr>
          <w:rFonts w:eastAsia="Times New Roman" w:cs="Times New Roman"/>
          <w:i/>
          <w:iCs/>
          <w:color w:val="222222"/>
        </w:rPr>
        <w:br/>
      </w:r>
      <w:r w:rsidR="009E7F9F" w:rsidRPr="009E7F9F">
        <w:rPr>
          <w:rFonts w:eastAsia="Times New Roman" w:cs="Times New Roman"/>
          <w:i/>
          <w:iCs/>
          <w:color w:val="222222"/>
          <w:shd w:val="clear" w:color="auto" w:fill="FFFFFF"/>
        </w:rPr>
        <w:lastRenderedPageBreak/>
        <w:t>In deinem Dienst beständig bleiben,</w:t>
      </w:r>
      <w:r w:rsidR="009E7F9F" w:rsidRPr="009E7F9F">
        <w:rPr>
          <w:rFonts w:eastAsia="Times New Roman" w:cs="Times New Roman"/>
          <w:i/>
          <w:iCs/>
          <w:color w:val="222222"/>
        </w:rPr>
        <w:br/>
      </w:r>
      <w:r w:rsidR="009E7F9F" w:rsidRPr="009E7F9F">
        <w:rPr>
          <w:rFonts w:eastAsia="Times New Roman" w:cs="Times New Roman"/>
          <w:i/>
          <w:iCs/>
          <w:color w:val="222222"/>
          <w:shd w:val="clear" w:color="auto" w:fill="FFFFFF"/>
        </w:rPr>
        <w:t>Die Trübsal uns nicht abtreiben.</w:t>
      </w:r>
      <w:r w:rsidR="009E7F9F" w:rsidRPr="009E7F9F">
        <w:rPr>
          <w:rFonts w:eastAsia="Times New Roman" w:cs="Times New Roman"/>
          <w:i/>
          <w:iCs/>
          <w:color w:val="222222"/>
        </w:rPr>
        <w:br/>
      </w:r>
      <w:r w:rsidR="009E7F9F" w:rsidRPr="009E7F9F">
        <w:rPr>
          <w:rFonts w:eastAsia="Times New Roman" w:cs="Times New Roman"/>
          <w:i/>
          <w:iCs/>
          <w:color w:val="222222"/>
          <w:shd w:val="clear" w:color="auto" w:fill="FFFFFF"/>
        </w:rPr>
        <w:t>O Herr, durch dein Kraft uns bereit</w:t>
      </w:r>
      <w:r w:rsidR="009E7F9F" w:rsidRPr="009E7F9F">
        <w:rPr>
          <w:rFonts w:eastAsia="Times New Roman" w:cs="Times New Roman"/>
          <w:i/>
          <w:iCs/>
          <w:color w:val="222222"/>
        </w:rPr>
        <w:br/>
      </w:r>
      <w:r w:rsidR="009E7F9F" w:rsidRPr="009E7F9F">
        <w:rPr>
          <w:rFonts w:eastAsia="Times New Roman" w:cs="Times New Roman"/>
          <w:i/>
          <w:iCs/>
          <w:color w:val="222222"/>
          <w:shd w:val="clear" w:color="auto" w:fill="FFFFFF"/>
        </w:rPr>
        <w:t>Und stärk des Fleisches Blödigkeit,</w:t>
      </w:r>
      <w:r w:rsidR="009E7F9F" w:rsidRPr="009E7F9F">
        <w:rPr>
          <w:rFonts w:eastAsia="Times New Roman" w:cs="Times New Roman"/>
          <w:i/>
          <w:iCs/>
          <w:color w:val="222222"/>
        </w:rPr>
        <w:br/>
      </w:r>
      <w:r w:rsidR="009E7F9F" w:rsidRPr="009E7F9F">
        <w:rPr>
          <w:rFonts w:eastAsia="Times New Roman" w:cs="Times New Roman"/>
          <w:i/>
          <w:iCs/>
          <w:color w:val="222222"/>
          <w:shd w:val="clear" w:color="auto" w:fill="FFFFFF"/>
        </w:rPr>
        <w:t>Daß wir hie ritterlich ringen,</w:t>
      </w:r>
      <w:r w:rsidR="009E7F9F" w:rsidRPr="009E7F9F">
        <w:rPr>
          <w:rFonts w:eastAsia="Times New Roman" w:cs="Times New Roman"/>
          <w:i/>
          <w:iCs/>
          <w:color w:val="222222"/>
        </w:rPr>
        <w:br/>
      </w:r>
      <w:r w:rsidR="009E7F9F" w:rsidRPr="009E7F9F">
        <w:rPr>
          <w:rFonts w:eastAsia="Times New Roman" w:cs="Times New Roman"/>
          <w:i/>
          <w:iCs/>
          <w:color w:val="222222"/>
          <w:shd w:val="clear" w:color="auto" w:fill="FFFFFF"/>
        </w:rPr>
        <w:t>Durch Tod und Leben zu dir dringen.</w:t>
      </w:r>
      <w:r w:rsidR="009E7F9F" w:rsidRPr="009E7F9F">
        <w:rPr>
          <w:rFonts w:eastAsia="Times New Roman" w:cs="Times New Roman"/>
          <w:i/>
          <w:iCs/>
          <w:color w:val="222222"/>
        </w:rPr>
        <w:br/>
      </w:r>
      <w:r w:rsidR="009E7F9F" w:rsidRPr="009E7F9F">
        <w:rPr>
          <w:rFonts w:eastAsia="Times New Roman" w:cs="Times New Roman"/>
          <w:i/>
          <w:iCs/>
          <w:color w:val="222222"/>
          <w:shd w:val="clear" w:color="auto" w:fill="FFFFFF"/>
        </w:rPr>
        <w:t>Halleluja, halleluja.</w:t>
      </w:r>
    </w:p>
    <w:p w14:paraId="3F7B9D43" w14:textId="77777777" w:rsidR="009E7F9F" w:rsidRDefault="009E7F9F" w:rsidP="005D085D">
      <w:pPr>
        <w:spacing w:line="276" w:lineRule="auto"/>
        <w:rPr>
          <w:i/>
        </w:rPr>
      </w:pPr>
    </w:p>
    <w:p w14:paraId="716AE796" w14:textId="77777777" w:rsidR="00172C61" w:rsidRDefault="00172C61" w:rsidP="005D085D">
      <w:pPr>
        <w:spacing w:line="276" w:lineRule="auto"/>
        <w:rPr>
          <w:i/>
        </w:rPr>
      </w:pPr>
    </w:p>
    <w:p w14:paraId="2D435510" w14:textId="77777777" w:rsidR="00172C61" w:rsidRPr="00921844" w:rsidRDefault="00172C61" w:rsidP="005D085D">
      <w:pPr>
        <w:spacing w:line="276" w:lineRule="auto"/>
        <w:rPr>
          <w:i/>
        </w:rPr>
      </w:pPr>
    </w:p>
    <w:p w14:paraId="44C699B9" w14:textId="77777777" w:rsidR="007F191D" w:rsidRDefault="007F191D" w:rsidP="005D085D">
      <w:pPr>
        <w:spacing w:line="276" w:lineRule="auto"/>
      </w:pPr>
    </w:p>
    <w:p w14:paraId="5B9E2D9F" w14:textId="15E35302" w:rsidR="004D3446" w:rsidRPr="008811E8" w:rsidRDefault="008811E8" w:rsidP="005D085D">
      <w:pPr>
        <w:spacing w:line="276" w:lineRule="auto"/>
        <w:rPr>
          <w:i/>
        </w:rPr>
      </w:pPr>
      <w:r w:rsidRPr="008811E8">
        <w:rPr>
          <w:i/>
        </w:rPr>
        <w:t>Literatur:</w:t>
      </w:r>
    </w:p>
    <w:p w14:paraId="5573E691" w14:textId="6B2A6F7A" w:rsidR="008811E8" w:rsidRPr="008811E8" w:rsidRDefault="008811E8" w:rsidP="005D085D">
      <w:pPr>
        <w:spacing w:line="276" w:lineRule="auto"/>
        <w:rPr>
          <w:i/>
        </w:rPr>
      </w:pPr>
      <w:r w:rsidRPr="008811E8">
        <w:rPr>
          <w:i/>
        </w:rPr>
        <w:t>Klaus Hofmann: Johann Sebastian Bach – Die Motetten, Kassel u.a. 2003, 87-111.</w:t>
      </w:r>
    </w:p>
    <w:p w14:paraId="56037BE7" w14:textId="77777777" w:rsidR="008811E8" w:rsidRDefault="008811E8" w:rsidP="005D085D">
      <w:pPr>
        <w:spacing w:line="276" w:lineRule="auto"/>
      </w:pPr>
    </w:p>
    <w:sectPr w:rsidR="008811E8" w:rsidSect="0021404B">
      <w:headerReference w:type="even" r:id="rId6"/>
      <w:headerReference w:type="default" r:id="rId7"/>
      <w:pgSz w:w="11900" w:h="16840"/>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185887" w14:textId="77777777" w:rsidR="00465EF9" w:rsidRDefault="00465EF9" w:rsidP="0021404B">
      <w:r>
        <w:separator/>
      </w:r>
    </w:p>
  </w:endnote>
  <w:endnote w:type="continuationSeparator" w:id="0">
    <w:p w14:paraId="670382FA" w14:textId="77777777" w:rsidR="00465EF9" w:rsidRDefault="00465EF9" w:rsidP="00214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1E1932" w14:textId="77777777" w:rsidR="00465EF9" w:rsidRDefault="00465EF9" w:rsidP="0021404B">
      <w:r>
        <w:separator/>
      </w:r>
    </w:p>
  </w:footnote>
  <w:footnote w:type="continuationSeparator" w:id="0">
    <w:p w14:paraId="1B776FEE" w14:textId="77777777" w:rsidR="00465EF9" w:rsidRDefault="00465EF9" w:rsidP="002140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9C8B7" w14:textId="77777777" w:rsidR="0021404B" w:rsidRDefault="0021404B" w:rsidP="00613CAE">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0D908F8" w14:textId="77777777" w:rsidR="0021404B" w:rsidRDefault="0021404B" w:rsidP="0021404B">
    <w:pPr>
      <w:pStyle w:val="Kopfzeil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34FF7" w14:textId="77777777" w:rsidR="0021404B" w:rsidRDefault="0021404B" w:rsidP="00613CAE">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F66504">
      <w:rPr>
        <w:rStyle w:val="Seitenzahl"/>
        <w:noProof/>
      </w:rPr>
      <w:t>2</w:t>
    </w:r>
    <w:r>
      <w:rPr>
        <w:rStyle w:val="Seitenzahl"/>
      </w:rPr>
      <w:fldChar w:fldCharType="end"/>
    </w:r>
  </w:p>
  <w:p w14:paraId="0C88D5EB" w14:textId="77777777" w:rsidR="0021404B" w:rsidRDefault="0021404B" w:rsidP="0021404B">
    <w:pPr>
      <w:pStyle w:val="Kopfzeil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autoHyphenation/>
  <w:hyphenationZone w:val="425"/>
  <w:doNotHyphenateCap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85D"/>
    <w:rsid w:val="00005E88"/>
    <w:rsid w:val="00022F3A"/>
    <w:rsid w:val="00033833"/>
    <w:rsid w:val="000617A6"/>
    <w:rsid w:val="00063430"/>
    <w:rsid w:val="000752C1"/>
    <w:rsid w:val="000A026C"/>
    <w:rsid w:val="000A111D"/>
    <w:rsid w:val="000E4A75"/>
    <w:rsid w:val="00146E7C"/>
    <w:rsid w:val="00172C61"/>
    <w:rsid w:val="00174149"/>
    <w:rsid w:val="00190769"/>
    <w:rsid w:val="0019585F"/>
    <w:rsid w:val="001D335D"/>
    <w:rsid w:val="001E1236"/>
    <w:rsid w:val="0021404B"/>
    <w:rsid w:val="00233666"/>
    <w:rsid w:val="0026598A"/>
    <w:rsid w:val="002759C2"/>
    <w:rsid w:val="002B7AB0"/>
    <w:rsid w:val="002D683B"/>
    <w:rsid w:val="002E5186"/>
    <w:rsid w:val="002F093F"/>
    <w:rsid w:val="00365C63"/>
    <w:rsid w:val="003C31AE"/>
    <w:rsid w:val="003F6F4A"/>
    <w:rsid w:val="00452481"/>
    <w:rsid w:val="00465EF9"/>
    <w:rsid w:val="004776E3"/>
    <w:rsid w:val="00484235"/>
    <w:rsid w:val="004C2A6B"/>
    <w:rsid w:val="004D271E"/>
    <w:rsid w:val="004D3446"/>
    <w:rsid w:val="004E03B9"/>
    <w:rsid w:val="004F2D7D"/>
    <w:rsid w:val="004F3C2B"/>
    <w:rsid w:val="00526E8F"/>
    <w:rsid w:val="0054289B"/>
    <w:rsid w:val="00557C42"/>
    <w:rsid w:val="005642CF"/>
    <w:rsid w:val="005703B0"/>
    <w:rsid w:val="00585EB7"/>
    <w:rsid w:val="005A0AFB"/>
    <w:rsid w:val="005D085D"/>
    <w:rsid w:val="005D5212"/>
    <w:rsid w:val="00612456"/>
    <w:rsid w:val="00613644"/>
    <w:rsid w:val="006144E0"/>
    <w:rsid w:val="00690F19"/>
    <w:rsid w:val="006A3F37"/>
    <w:rsid w:val="006F496C"/>
    <w:rsid w:val="006F7588"/>
    <w:rsid w:val="0073401C"/>
    <w:rsid w:val="00763044"/>
    <w:rsid w:val="00783F4D"/>
    <w:rsid w:val="007A37B0"/>
    <w:rsid w:val="007F191D"/>
    <w:rsid w:val="00815006"/>
    <w:rsid w:val="008150FE"/>
    <w:rsid w:val="008217CB"/>
    <w:rsid w:val="00825713"/>
    <w:rsid w:val="008507B5"/>
    <w:rsid w:val="008744F2"/>
    <w:rsid w:val="008811E8"/>
    <w:rsid w:val="008A7126"/>
    <w:rsid w:val="008D6270"/>
    <w:rsid w:val="008E473F"/>
    <w:rsid w:val="008F478F"/>
    <w:rsid w:val="00921844"/>
    <w:rsid w:val="009351B8"/>
    <w:rsid w:val="009462C4"/>
    <w:rsid w:val="00970601"/>
    <w:rsid w:val="009847C6"/>
    <w:rsid w:val="00990AC9"/>
    <w:rsid w:val="009D3519"/>
    <w:rsid w:val="009E7F9F"/>
    <w:rsid w:val="009F762C"/>
    <w:rsid w:val="00A757A4"/>
    <w:rsid w:val="00A76192"/>
    <w:rsid w:val="00A833B3"/>
    <w:rsid w:val="00A95D66"/>
    <w:rsid w:val="00AB1FA9"/>
    <w:rsid w:val="00AB26C2"/>
    <w:rsid w:val="00AD4AA8"/>
    <w:rsid w:val="00AE4F73"/>
    <w:rsid w:val="00B05A83"/>
    <w:rsid w:val="00B07066"/>
    <w:rsid w:val="00B5490D"/>
    <w:rsid w:val="00B71EB5"/>
    <w:rsid w:val="00B77036"/>
    <w:rsid w:val="00B87292"/>
    <w:rsid w:val="00BB30D8"/>
    <w:rsid w:val="00BD62B0"/>
    <w:rsid w:val="00C15739"/>
    <w:rsid w:val="00C4679D"/>
    <w:rsid w:val="00C52D33"/>
    <w:rsid w:val="00C74C8C"/>
    <w:rsid w:val="00C8179E"/>
    <w:rsid w:val="00C81C88"/>
    <w:rsid w:val="00CA0FAB"/>
    <w:rsid w:val="00CB13D9"/>
    <w:rsid w:val="00CB1E19"/>
    <w:rsid w:val="00CB2621"/>
    <w:rsid w:val="00CB68AA"/>
    <w:rsid w:val="00CD198D"/>
    <w:rsid w:val="00D107A4"/>
    <w:rsid w:val="00D4179B"/>
    <w:rsid w:val="00D5318E"/>
    <w:rsid w:val="00D63580"/>
    <w:rsid w:val="00D80764"/>
    <w:rsid w:val="00D9119C"/>
    <w:rsid w:val="00DA6F54"/>
    <w:rsid w:val="00DB482C"/>
    <w:rsid w:val="00E24C0C"/>
    <w:rsid w:val="00E72DF3"/>
    <w:rsid w:val="00EC0276"/>
    <w:rsid w:val="00EC4723"/>
    <w:rsid w:val="00F12929"/>
    <w:rsid w:val="00F1555A"/>
    <w:rsid w:val="00F6650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97F586"/>
  <w14:defaultImageDpi w14:val="300"/>
  <w15:docId w15:val="{20E3141B-038C-43E1-B5DA-FF38397E1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1404B"/>
    <w:pPr>
      <w:tabs>
        <w:tab w:val="center" w:pos="4536"/>
        <w:tab w:val="right" w:pos="9072"/>
      </w:tabs>
    </w:pPr>
  </w:style>
  <w:style w:type="character" w:customStyle="1" w:styleId="KopfzeileZchn">
    <w:name w:val="Kopfzeile Zchn"/>
    <w:basedOn w:val="Absatz-Standardschriftart"/>
    <w:link w:val="Kopfzeile"/>
    <w:uiPriority w:val="99"/>
    <w:rsid w:val="0021404B"/>
  </w:style>
  <w:style w:type="character" w:styleId="Seitenzahl">
    <w:name w:val="page number"/>
    <w:basedOn w:val="Absatz-Standardschriftart"/>
    <w:uiPriority w:val="99"/>
    <w:semiHidden/>
    <w:unhideWhenUsed/>
    <w:rsid w:val="00214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1657</Words>
  <Characters>10440</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Praktisch-Theologisches Seminar</Company>
  <LinksUpToDate>false</LinksUpToDate>
  <CharactersWithSpaces>12073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Dr. Helmut Schwier</dc:creator>
  <cp:keywords/>
  <dc:description/>
  <cp:lastModifiedBy>Yvonne Weber</cp:lastModifiedBy>
  <cp:revision>2</cp:revision>
  <dcterms:created xsi:type="dcterms:W3CDTF">2018-07-16T07:22:00Z</dcterms:created>
  <dcterms:modified xsi:type="dcterms:W3CDTF">2018-07-16T07:22:00Z</dcterms:modified>
</cp:coreProperties>
</file>